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333333" w:sz="6" w:space="8"/>
        </w:pBdr>
        <w:spacing w:after="240"/>
        <w:jc w:val="center"/>
      </w:pPr>
      <w:r>
        <w:rPr>
          <w:b/>
          <w:bCs/>
          <w:sz w:val="34"/>
          <w:szCs w:val="34"/>
        </w:rPr>
        <w:t xml:space="preserve">Kupní smlouva (movitá věc) – vzor 2026 ke stažení zdarma</w:t>
      </w:r>
    </w:p>
    <w:p>
      <w:pPr>
        <w:pBdr>
          <w:top w:val="single" w:color="E6C200" w:sz="4" w:space="8"/>
          <w:bottom w:val="single" w:color="E6C200" w:sz="4" w:space="8"/>
          <w:left w:val="single" w:color="E6C200" w:sz="4" w:space="8"/>
          <w:right w:val="single" w:color="E6C200" w:sz="4" w:space="8"/>
        </w:pBdr>
        <w:shd w:fill="FFF7CC" w:color="auto" w:val="clear"/>
        <w:spacing w:after="360"/>
      </w:pPr>
      <w:r>
        <w:rPr>
          <w:b/>
          <w:bCs/>
          <w:sz w:val="20"/>
          <w:szCs w:val="20"/>
        </w:rPr>
        <w:t xml:space="preserve">Jak vzor vyplnit: </w:t>
      </w:r>
      <w:r>
        <w:rPr>
          <w:sz w:val="20"/>
          <w:szCs w:val="20"/>
        </w:rPr>
        <w:t xml:space="preserve">Žlutě zvýrazněná pole </w:t>
      </w:r>
      <w:r>
        <w:rPr>
          <w:b/>
          <w:bCs/>
          <w:sz w:val="20"/>
          <w:szCs w:val="20"/>
          <w:highlight w:val="yellow"/>
          <w:highlightCs w:val="yellow"/>
        </w:rPr>
        <w:t xml:space="preserve">[V HRANATÝCH ZÁVORKÁCH]</w:t>
      </w:r>
      <w:r>
        <w:rPr>
          <w:sz w:val="20"/>
          <w:szCs w:val="20"/>
        </w:rPr>
        <w:t xml:space="preserve"> nahraďte vlastními údaji a zvýraznění poté zrušte. Text v závorkách je návod, ne konečné znění.</w:t>
      </w:r>
    </w:p>
    <w:p>
      <w:pPr>
        <w:spacing w:after="240" w:before="0"/>
      </w:pPr>
      <w:r>
        <w:rPr>
          <w:b w:val="false"/>
          <w:bCs w:val="false"/>
        </w:rPr>
        <w:t xml:space="preserve">Prodávající:</w:t>
      </w:r>
      <w:r>
        <w:br/>
      </w:r>
      <w:r>
        <w:rPr>
          <w:b/>
          <w:bCs/>
          <w:highlight w:val="yellow"/>
          <w:highlightCs w:val="yellow"/>
        </w:rPr>
        <w:t xml:space="preserve">[JMÉNO A PŘÍJMENÍ]</w:t>
      </w:r>
      <w:r>
        <w:rPr>
          <w:b w:val="false"/>
          <w:bCs w:val="false"/>
        </w:rPr>
        <w:t xml:space="preserve">, nar. </w:t>
      </w:r>
      <w:r>
        <w:rPr>
          <w:b/>
          <w:bCs/>
          <w:highlight w:val="yellow"/>
          <w:highlightCs w:val="yellow"/>
        </w:rPr>
        <w:t xml:space="preserve">[DATUM NAROZENÍ]</w:t>
      </w:r>
      <w:r>
        <w:rPr>
          <w:b w:val="false"/>
          <w:bCs w:val="false"/>
        </w:rPr>
        <w:t xml:space="preserve">, bytem </w:t>
      </w:r>
      <w:r>
        <w:rPr>
          <w:b/>
          <w:bCs/>
          <w:highlight w:val="yellow"/>
          <w:highlightCs w:val="yellow"/>
        </w:rPr>
        <w:t xml:space="preserve">[ADRESA TRVALÉHO BYDLIŠTĚ]</w:t>
      </w:r>
      <w:r>
        <w:br/>
      </w:r>
      <w:r>
        <w:rPr>
          <w:b w:val="false"/>
          <w:bCs w:val="false"/>
        </w:rPr>
        <w:t xml:space="preserve">(dále jen „prodávající")</w:t>
      </w:r>
    </w:p>
    <w:p>
      <w:pPr>
        <w:spacing w:after="240" w:before="0"/>
      </w:pPr>
      <w:r>
        <w:rPr>
          <w:b w:val="false"/>
          <w:bCs w:val="false"/>
        </w:rPr>
        <w:t xml:space="preserve">Kupující:</w:t>
      </w:r>
      <w:r>
        <w:br/>
      </w:r>
      <w:r>
        <w:rPr>
          <w:b/>
          <w:bCs/>
          <w:highlight w:val="yellow"/>
          <w:highlightCs w:val="yellow"/>
        </w:rPr>
        <w:t xml:space="preserve">[JMÉNO A PŘÍJMENÍ]</w:t>
      </w:r>
      <w:r>
        <w:rPr>
          <w:b w:val="false"/>
          <w:bCs w:val="false"/>
        </w:rPr>
        <w:t xml:space="preserve">, nar. </w:t>
      </w:r>
      <w:r>
        <w:rPr>
          <w:b/>
          <w:bCs/>
          <w:highlight w:val="yellow"/>
          <w:highlightCs w:val="yellow"/>
        </w:rPr>
        <w:t xml:space="preserve">[DATUM NAROZENÍ]</w:t>
      </w:r>
      <w:r>
        <w:rPr>
          <w:b w:val="false"/>
          <w:bCs w:val="false"/>
        </w:rPr>
        <w:t xml:space="preserve">, bytem </w:t>
      </w:r>
      <w:r>
        <w:rPr>
          <w:b/>
          <w:bCs/>
          <w:highlight w:val="yellow"/>
          <w:highlightCs w:val="yellow"/>
        </w:rPr>
        <w:t xml:space="preserve">[ADRESA TRVALÉHO BYDLIŠTĚ]</w:t>
      </w:r>
      <w:r>
        <w:br/>
      </w:r>
      <w:r>
        <w:rPr>
          <w:b w:val="false"/>
          <w:bCs w:val="false"/>
        </w:rPr>
        <w:t xml:space="preserve">(dále jen „kupující")</w:t>
      </w:r>
    </w:p>
    <w:p>
      <w:pPr>
        <w:spacing w:after="240" w:before="0"/>
      </w:pPr>
      <w:r>
        <w:rPr>
          <w:b w:val="false"/>
          <w:bCs w:val="false"/>
        </w:rPr>
        <w:t xml:space="preserve">uzavírají níže uvedeného dne, měsíce a roku podle § 2079 a násl. zákona č. 89/2012 Sb., občanský zákoník, ve znění pozdějších předpisů, tuto</w:t>
      </w:r>
    </w:p>
    <w:p>
      <w:pPr>
        <w:spacing w:after="240" w:before="0"/>
      </w:pPr>
      <w:r>
        <w:rPr>
          <w:b w:val="false"/>
          <w:bCs w:val="false"/>
        </w:rPr>
        <w:t xml:space="preserve">KUPNÍ SMLOUVU</w:t>
      </w:r>
    </w:p>
    <w:p>
      <w:pPr>
        <w:spacing w:after="240" w:before="0"/>
      </w:pPr>
      <w:r>
        <w:rPr>
          <w:b/>
          <w:bCs/>
        </w:rPr>
        <w:t xml:space="preserve">I. Předmět koupě</w:t>
      </w:r>
      <w:r>
        <w:br/>
      </w:r>
      <w:r>
        <w:rPr>
          <w:b w:val="false"/>
          <w:bCs w:val="false"/>
        </w:rPr>
        <w:t xml:space="preserve">Předmětem koupě je movitá věc: </w:t>
      </w:r>
      <w:r>
        <w:rPr>
          <w:b/>
          <w:bCs/>
          <w:highlight w:val="yellow"/>
          <w:highlightCs w:val="yellow"/>
        </w:rPr>
        <w:t xml:space="preserve">[DRUH, ZNAČKA A MODEL VĚCI]</w:t>
      </w:r>
      <w:r>
        <w:br/>
      </w:r>
      <w:r>
        <w:rPr>
          <w:b w:val="false"/>
          <w:bCs w:val="false"/>
        </w:rPr>
        <w:t xml:space="preserve">výrobní / sériové číslo: </w:t>
      </w:r>
      <w:r>
        <w:rPr>
          <w:b/>
          <w:bCs/>
          <w:highlight w:val="yellow"/>
          <w:highlightCs w:val="yellow"/>
        </w:rPr>
        <w:t xml:space="preserve">[VÝROBNÍ ČÍSLO – DOPLŇTE JEN, MÁ-LI JE VĚC]</w:t>
      </w:r>
      <w:r>
        <w:br/>
      </w:r>
      <w:r>
        <w:rPr>
          <w:b w:val="false"/>
          <w:bCs w:val="false"/>
        </w:rPr>
        <w:t xml:space="preserve">příslušenství: </w:t>
      </w:r>
      <w:r>
        <w:rPr>
          <w:b/>
          <w:bCs/>
          <w:highlight w:val="yellow"/>
          <w:highlightCs w:val="yellow"/>
        </w:rPr>
        <w:t xml:space="preserve">[PŘÍSLUŠENSTVÍ – VOLITELNÉ]</w:t>
      </w:r>
      <w:r>
        <w:br/>
      </w:r>
      <w:r>
        <w:rPr>
          <w:b w:val="false"/>
          <w:bCs w:val="false"/>
        </w:rPr>
        <w:t xml:space="preserve">(dále jen „věc")</w:t>
      </w:r>
    </w:p>
    <w:p>
      <w:pPr>
        <w:spacing w:after="240" w:before="0"/>
      </w:pPr>
      <w:r>
        <w:rPr>
          <w:b/>
          <w:bCs/>
        </w:rPr>
        <w:t xml:space="preserve">II. Kupní cena</w:t>
      </w:r>
      <w:r>
        <w:br/>
      </w:r>
      <w:r>
        <w:rPr>
          <w:b w:val="false"/>
          <w:bCs w:val="false"/>
        </w:rPr>
        <w:t xml:space="preserve">Kupní cena věci je dohodou smluvních stran sjednána ve výši </w:t>
      </w:r>
      <w:r>
        <w:rPr>
          <w:b/>
          <w:bCs/>
          <w:highlight w:val="yellow"/>
          <w:highlightCs w:val="yellow"/>
        </w:rPr>
        <w:t xml:space="preserve">[ČÁSTKA]</w:t>
      </w:r>
      <w:r>
        <w:rPr>
          <w:b w:val="false"/>
          <w:bCs w:val="false"/>
        </w:rPr>
        <w:t xml:space="preserve"> Kč (slovy: </w:t>
      </w:r>
      <w:r>
        <w:rPr>
          <w:b/>
          <w:bCs/>
          <w:highlight w:val="yellow"/>
          <w:highlightCs w:val="yellow"/>
        </w:rPr>
        <w:t xml:space="preserve">[ČÁSTKA SLOVY]</w:t>
      </w:r>
      <w:r>
        <w:rPr>
          <w:b w:val="false"/>
          <w:bCs w:val="false"/>
        </w:rPr>
        <w:t xml:space="preserve"> korun českých) a bude uhrazena </w:t>
      </w:r>
      <w:r>
        <w:rPr>
          <w:b/>
          <w:bCs/>
          <w:highlight w:val="yellow"/>
          <w:highlightCs w:val="yellow"/>
        </w:rPr>
        <w:t xml:space="preserve">[v hotovosti při podpisu této smlouvy / bezhotovostně na účet prodávajícího č. [ČÍSLO ÚČTU] nejpozději dne [DATUM]]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/>
          <w:bCs/>
        </w:rPr>
        <w:t xml:space="preserve">III. Prohlášení prodávajícího</w:t>
      </w:r>
      <w:r>
        <w:br/>
      </w:r>
      <w:r>
        <w:rPr>
          <w:b w:val="false"/>
          <w:bCs w:val="false"/>
        </w:rPr>
        <w:t xml:space="preserve">Prodávající prohlašuje, že je výlučným vlastníkem věci, je oprávněn s ní nakládat a věc není zatížena zástavním právem, výhradou vlastnictví ani jinými právy třetích osob.</w:t>
      </w:r>
    </w:p>
    <w:p>
      <w:pPr>
        <w:spacing w:after="240" w:before="0"/>
      </w:pPr>
      <w:r>
        <w:rPr>
          <w:b/>
          <w:bCs/>
        </w:rPr>
        <w:t xml:space="preserve">IV. Stav věci</w:t>
      </w:r>
      <w:r>
        <w:br/>
      </w:r>
      <w:r>
        <w:rPr>
          <w:b w:val="false"/>
          <w:bCs w:val="false"/>
        </w:rPr>
        <w:t xml:space="preserve">Kupující se před uzavřením smlouvy se stavem věci seznámil, věc si prohlédl, případně vyzkoušel, a kupuje ji ve stavu, v jakém se ke dni podpisu nachází.</w:t>
      </w:r>
      <w:r>
        <w:br/>
      </w:r>
      <w:r>
        <w:rPr>
          <w:b w:val="false"/>
          <w:bCs w:val="false"/>
        </w:rPr>
        <w:t xml:space="preserve">Prodávající kupujícího výslovně upozorňuje na tyto známé vady: </w:t>
      </w:r>
      <w:r>
        <w:rPr>
          <w:b/>
          <w:bCs/>
          <w:highlight w:val="yellow"/>
          <w:highlightCs w:val="yellow"/>
        </w:rPr>
        <w:t xml:space="preserve">[POPIS ZNÁMÝCH VAD / žádné známé vady]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/>
          <w:bCs/>
        </w:rPr>
        <w:t xml:space="preserve">V. Předání věci a přechod vlastnického práva</w:t>
      </w:r>
      <w:r>
        <w:br/>
      </w:r>
      <w:r>
        <w:rPr>
          <w:b w:val="false"/>
          <w:bCs w:val="false"/>
        </w:rPr>
        <w:t xml:space="preserve">Prodávající předá kupujícímu věc dne </w:t>
      </w:r>
      <w:r>
        <w:rPr>
          <w:b/>
          <w:bCs/>
          <w:highlight w:val="yellow"/>
          <w:highlightCs w:val="yellow"/>
        </w:rPr>
        <w:t xml:space="preserve">[DATUM PŘEDÁNÍ]</w:t>
      </w:r>
      <w:r>
        <w:rPr>
          <w:b w:val="false"/>
          <w:bCs w:val="false"/>
        </w:rPr>
        <w:t xml:space="preserve"> v </w:t>
      </w:r>
      <w:r>
        <w:rPr>
          <w:b/>
          <w:bCs/>
          <w:highlight w:val="yellow"/>
          <w:highlightCs w:val="yellow"/>
        </w:rPr>
        <w:t xml:space="preserve">[MÍSTO PŘEDÁNÍ]</w:t>
      </w:r>
      <w:r>
        <w:rPr>
          <w:b w:val="false"/>
          <w:bCs w:val="false"/>
        </w:rPr>
        <w:t xml:space="preserve">. Vlastnické právo k věci přechází na kupujícího </w:t>
      </w:r>
      <w:r>
        <w:rPr>
          <w:b/>
          <w:bCs/>
          <w:highlight w:val="yellow"/>
          <w:highlightCs w:val="yellow"/>
        </w:rPr>
        <w:t xml:space="preserve">[účinností této smlouvy / zaplacením celé kupní ceny]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/>
          <w:bCs/>
        </w:rPr>
        <w:t xml:space="preserve">VI. Závěrečná ustanovení</w:t>
      </w:r>
      <w:r>
        <w:br/>
      </w:r>
      <w:r>
        <w:rPr>
          <w:b w:val="false"/>
          <w:bCs w:val="false"/>
        </w:rPr>
        <w:t xml:space="preserve">Smlouva je vyhotovena ve dvou stejnopisech, z nichž každá smluvní strana obdrží po jednom. Vztahy touto smlouvou výslovně neupravené se řídí občanským zákoníkem. Obě strany prohlašují, že smlouvu uzavřely svobodně, vážně a srozumitelně, což stvrzují svými podpisy.</w:t>
      </w:r>
    </w:p>
    <w:p>
      <w:pPr>
        <w:spacing w:after="240" w:before="0"/>
        <w:jc w:val="right"/>
      </w:pPr>
      <w:r>
        <w:rPr>
          <w:b w:val="false"/>
          <w:bCs w:val="false"/>
        </w:rPr>
        <w:t xml:space="preserve">V </w:t>
      </w:r>
      <w:r>
        <w:rPr>
          <w:b/>
          <w:bCs/>
          <w:highlight w:val="yellow"/>
          <w:highlightCs w:val="yellow"/>
        </w:rPr>
        <w:t xml:space="preserve">[MÍSTO]</w:t>
      </w:r>
      <w:r>
        <w:rPr>
          <w:b w:val="false"/>
          <w:bCs w:val="false"/>
        </w:rPr>
        <w:t xml:space="preserve"> dne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spacing w:after="240" w:before="480"/>
      </w:pPr>
      <w:r>
        <w:rPr>
          <w:b w:val="false"/>
          <w:bCs w:val="false"/>
        </w:rPr>
        <w:t xml:space="preserve">............................................</w:t>
      </w:r>
      <w:r>
        <w:br/>
      </w:r>
      <w:r>
        <w:rPr>
          <w:b w:val="false"/>
          <w:bCs w:val="false"/>
        </w:rPr>
        <w:t xml:space="preserve">prodávající</w:t>
      </w:r>
    </w:p>
    <w:p>
      <w:pPr>
        <w:spacing w:after="240" w:before="480"/>
      </w:pPr>
      <w:r>
        <w:rPr>
          <w:b w:val="false"/>
          <w:bCs w:val="false"/>
        </w:rPr>
        <w:t xml:space="preserve">............................................</w:t>
      </w:r>
      <w:r>
        <w:br/>
      </w:r>
      <w:r>
        <w:rPr>
          <w:b w:val="false"/>
          <w:bCs w:val="false"/>
        </w:rPr>
        <w:t xml:space="preserve">kupující</w:t>
      </w:r>
    </w:p>
    <w:p>
      <w:pPr>
        <w:pBdr>
          <w:top w:val="single" w:color="DDDDDD" w:sz="4" w:space="8"/>
        </w:pBdr>
        <w:spacing w:before="480"/>
      </w:pPr>
      <w:r>
        <w:rPr>
          <w:i/>
          <w:iCs/>
          <w:color w:val="888888"/>
          <w:sz w:val="18"/>
          <w:szCs w:val="18"/>
        </w:rPr>
        <w:t xml:space="preserve">Zdroj: https://kalkulacky-online.cz/vzory/kupni-smlouva/ – vzor je obecná šablona, nejde o právní poradenství. Ověřeno: 2026-10-16.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(movitá věc) – vzor 2026 ke stažení zdarma</dc:title>
  <dc:creator>Kalkulačky-online.cz</dc:creator>
  <dc:description>Obecná kupní smlouva na movitou věc mezi soukromými osobami – vzor 2026 zdarma. Náležitosti podle § 2079 a násl. občanského zákoníku, vady a předání.</dc:description>
  <cp:lastModifiedBy>Un-named</cp:lastModifiedBy>
  <cp:revision>1</cp:revision>
  <dcterms:created xsi:type="dcterms:W3CDTF">2026-10-16T16:56:41.263Z</dcterms:created>
  <dcterms:modified xsi:type="dcterms:W3CDTF">2026-10-16T16:56:41.263Z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